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64A6" w14:textId="77777777" w:rsidR="00C55B31" w:rsidRPr="009A76B2" w:rsidRDefault="00C55B31" w:rsidP="00C55B31">
      <w:pPr>
        <w:tabs>
          <w:tab w:val="left" w:pos="-720"/>
          <w:tab w:val="left" w:pos="0"/>
          <w:tab w:val="left" w:pos="1440"/>
          <w:tab w:val="left" w:pos="2160"/>
          <w:tab w:val="left" w:pos="2880"/>
          <w:tab w:val="left" w:pos="3600"/>
          <w:tab w:val="left" w:pos="4320"/>
          <w:tab w:val="left" w:pos="5040"/>
        </w:tabs>
        <w:suppressAutoHyphens/>
        <w:spacing w:after="90" w:line="240" w:lineRule="atLeast"/>
        <w:rPr>
          <w:rFonts w:ascii="Arial" w:hAnsi="Arial" w:cs="Arial"/>
          <w:b/>
        </w:rPr>
      </w:pPr>
    </w:p>
    <w:p w14:paraId="717A0C45" w14:textId="77777777" w:rsidR="00C55B31" w:rsidRPr="009A76B2" w:rsidRDefault="00C55B31" w:rsidP="00C55B31">
      <w:pPr>
        <w:rPr>
          <w:rFonts w:ascii="Arial" w:hAnsi="Arial" w:cs="Arial"/>
        </w:rPr>
      </w:pPr>
    </w:p>
    <w:p w14:paraId="4249539D" w14:textId="77777777" w:rsidR="00C55B31" w:rsidRPr="009A76B2" w:rsidRDefault="00C55B31" w:rsidP="00C55B31">
      <w:pPr>
        <w:rPr>
          <w:rFonts w:ascii="Arial" w:hAnsi="Arial" w:cs="Arial"/>
        </w:rPr>
      </w:pPr>
    </w:p>
    <w:p w14:paraId="12197884" w14:textId="6164CC80" w:rsidR="00C55B31" w:rsidRPr="00C63CE6" w:rsidRDefault="00B04760" w:rsidP="00C63CE6">
      <w:pPr>
        <w:jc w:val="center"/>
        <w:rPr>
          <w:rFonts w:ascii="Arial" w:hAnsi="Arial" w:cs="Arial"/>
          <w:b/>
          <w:sz w:val="28"/>
        </w:rPr>
      </w:pPr>
      <w:r>
        <w:rPr>
          <w:rFonts w:ascii="Arial" w:hAnsi="Arial" w:cs="Arial"/>
          <w:b/>
          <w:sz w:val="28"/>
        </w:rPr>
        <w:t>Print Page 2 for Customers Only</w:t>
      </w:r>
    </w:p>
    <w:p w14:paraId="7631288E" w14:textId="77777777" w:rsidR="00C55B31" w:rsidRPr="009A76B2" w:rsidRDefault="00C55B31" w:rsidP="00C55B31">
      <w:pPr>
        <w:rPr>
          <w:rFonts w:ascii="Arial" w:hAnsi="Arial" w:cs="Arial"/>
        </w:rPr>
      </w:pPr>
    </w:p>
    <w:p w14:paraId="02E69BF9" w14:textId="77777777" w:rsidR="00C55B31" w:rsidRPr="009A76B2" w:rsidRDefault="00C55B31" w:rsidP="00C55B31">
      <w:pPr>
        <w:rPr>
          <w:rFonts w:ascii="Arial" w:hAnsi="Arial" w:cs="Arial"/>
        </w:rPr>
      </w:pPr>
    </w:p>
    <w:p w14:paraId="63FA5002" w14:textId="77777777" w:rsidR="00C55B31" w:rsidRPr="009A76B2" w:rsidRDefault="00C55B31" w:rsidP="00C55B31">
      <w:pPr>
        <w:rPr>
          <w:rFonts w:ascii="Arial" w:hAnsi="Arial" w:cs="Arial"/>
        </w:rPr>
      </w:pPr>
      <w:r w:rsidRPr="009A76B2">
        <w:rPr>
          <w:rFonts w:ascii="Arial" w:hAnsi="Arial" w:cs="Arial"/>
        </w:rPr>
        <w:br w:type="page"/>
      </w:r>
    </w:p>
    <w:p w14:paraId="22FE07FC" w14:textId="57D4C2B4" w:rsidR="00B04760" w:rsidRPr="00B435A8" w:rsidRDefault="00B04760" w:rsidP="00B435A8">
      <w:pPr>
        <w:pStyle w:val="NoSpacing"/>
        <w:rPr>
          <w:rFonts w:ascii="Arial" w:hAnsi="Arial" w:cs="Arial"/>
          <w:sz w:val="20"/>
          <w:szCs w:val="20"/>
        </w:rPr>
      </w:pPr>
      <w:r w:rsidRPr="00B435A8">
        <w:rPr>
          <w:rFonts w:ascii="Arial" w:hAnsi="Arial" w:cs="Arial"/>
          <w:b/>
          <w:bCs/>
          <w:sz w:val="20"/>
          <w:szCs w:val="20"/>
        </w:rPr>
        <w:lastRenderedPageBreak/>
        <w:t>Concentration:</w:t>
      </w:r>
      <w:r w:rsidRPr="00B435A8">
        <w:rPr>
          <w:rFonts w:ascii="Arial" w:hAnsi="Arial" w:cs="Arial"/>
          <w:sz w:val="20"/>
          <w:szCs w:val="20"/>
        </w:rPr>
        <w:t xml:space="preserve"> </w:t>
      </w:r>
      <w:proofErr w:type="spellStart"/>
      <w:r w:rsidR="006B47E0">
        <w:rPr>
          <w:rFonts w:ascii="Arial" w:hAnsi="Arial" w:cs="Arial"/>
          <w:sz w:val="20"/>
        </w:rPr>
        <w:t>MeanGreen</w:t>
      </w:r>
      <w:proofErr w:type="spellEnd"/>
      <w:r w:rsidR="006B47E0">
        <w:rPr>
          <w:rFonts w:ascii="Arial" w:hAnsi="Arial" w:cs="Arial"/>
          <w:sz w:val="20"/>
        </w:rPr>
        <w:t xml:space="preserve"> Loading Dye</w:t>
      </w:r>
      <w:r w:rsidR="006B47E0">
        <w:rPr>
          <w:rFonts w:ascii="Arial" w:hAnsi="Arial" w:cs="Arial"/>
          <w:sz w:val="20"/>
          <w:szCs w:val="20"/>
        </w:rPr>
        <w:t xml:space="preserve">: </w:t>
      </w:r>
      <w:r w:rsidRPr="00B435A8">
        <w:rPr>
          <w:rFonts w:ascii="Arial" w:hAnsi="Arial" w:cs="Arial"/>
          <w:sz w:val="20"/>
          <w:szCs w:val="20"/>
        </w:rPr>
        <w:t>6X</w:t>
      </w:r>
    </w:p>
    <w:p w14:paraId="0F79EAF8" w14:textId="77777777" w:rsidR="00B435A8" w:rsidRPr="00B435A8" w:rsidRDefault="00B435A8" w:rsidP="00B435A8">
      <w:pPr>
        <w:pStyle w:val="NoSpacing"/>
        <w:rPr>
          <w:rFonts w:ascii="Arial" w:hAnsi="Arial" w:cs="Arial"/>
          <w:b/>
          <w:bCs/>
          <w:sz w:val="20"/>
          <w:szCs w:val="20"/>
        </w:rPr>
      </w:pPr>
      <w:r w:rsidRPr="00B435A8">
        <w:rPr>
          <w:rFonts w:ascii="Arial" w:hAnsi="Arial" w:cs="Arial"/>
          <w:b/>
          <w:bCs/>
          <w:sz w:val="20"/>
          <w:szCs w:val="20"/>
        </w:rPr>
        <w:t xml:space="preserve">Storage and Handling: </w:t>
      </w:r>
    </w:p>
    <w:p w14:paraId="2A0EA919" w14:textId="3F97FD60" w:rsidR="00B435A8" w:rsidRPr="00B435A8" w:rsidRDefault="00B435A8" w:rsidP="00B435A8">
      <w:pPr>
        <w:pStyle w:val="NoSpacing"/>
        <w:rPr>
          <w:rFonts w:ascii="Arial" w:hAnsi="Arial" w:cs="Arial"/>
          <w:sz w:val="20"/>
          <w:szCs w:val="20"/>
        </w:rPr>
      </w:pPr>
      <w:r w:rsidRPr="00B435A8">
        <w:rPr>
          <w:rFonts w:ascii="Arial" w:hAnsi="Arial" w:cs="Arial"/>
          <w:bCs/>
          <w:sz w:val="20"/>
          <w:szCs w:val="20"/>
        </w:rPr>
        <w:t>Upon arrival store</w:t>
      </w:r>
      <w:r w:rsidRPr="00B435A8">
        <w:rPr>
          <w:rFonts w:ascii="Arial" w:hAnsi="Arial" w:cs="Arial"/>
          <w:sz w:val="20"/>
          <w:szCs w:val="20"/>
        </w:rPr>
        <w:t xml:space="preserve"> at -20°C for provided expiration date, Room Temperature for </w:t>
      </w:r>
      <w:r>
        <w:rPr>
          <w:rFonts w:ascii="Arial" w:hAnsi="Arial" w:cs="Arial"/>
          <w:sz w:val="20"/>
          <w:szCs w:val="20"/>
        </w:rPr>
        <w:t>90</w:t>
      </w:r>
      <w:r w:rsidRPr="00B435A8">
        <w:rPr>
          <w:rFonts w:ascii="Arial" w:hAnsi="Arial" w:cs="Arial"/>
          <w:sz w:val="20"/>
          <w:szCs w:val="20"/>
        </w:rPr>
        <w:t xml:space="preserve"> Days, 4°C for up to 120 days.  Minimize Freeze thaw.</w:t>
      </w:r>
    </w:p>
    <w:p w14:paraId="706059DC" w14:textId="4BD1B7B4" w:rsidR="00C55B31" w:rsidRPr="008E2CF3" w:rsidRDefault="00B04760" w:rsidP="008E2CF3">
      <w:pPr>
        <w:pStyle w:val="NoSpacing"/>
        <w:rPr>
          <w:rFonts w:ascii="Arial" w:hAnsi="Arial" w:cs="Arial"/>
          <w:b/>
          <w:bCs/>
          <w:sz w:val="20"/>
          <w:szCs w:val="20"/>
        </w:rPr>
      </w:pPr>
      <w:r w:rsidRPr="00B435A8">
        <w:rPr>
          <w:rFonts w:ascii="Arial" w:hAnsi="Arial" w:cs="Arial"/>
          <w:b/>
          <w:bCs/>
          <w:sz w:val="20"/>
          <w:szCs w:val="20"/>
        </w:rPr>
        <w:t>Ordering Information</w:t>
      </w:r>
      <w:r w:rsidR="00C55B31" w:rsidRPr="00B435A8">
        <w:rPr>
          <w:rFonts w:ascii="Arial" w:hAnsi="Arial" w:cs="Arial"/>
          <w:b/>
          <w:bCs/>
          <w:sz w:val="20"/>
          <w:szCs w:val="20"/>
        </w:rPr>
        <w:t>:</w:t>
      </w:r>
      <w:r w:rsidR="008821AE" w:rsidRPr="00B435A8">
        <w:rPr>
          <w:rFonts w:ascii="Arial" w:hAnsi="Arial" w:cs="Arial"/>
          <w:b/>
          <w:bCs/>
          <w:sz w:val="20"/>
          <w:szCs w:val="20"/>
        </w:rPr>
        <w:t xml:space="preserve"> </w:t>
      </w:r>
    </w:p>
    <w:tbl>
      <w:tblPr>
        <w:tblStyle w:val="TableGrid"/>
        <w:tblpPr w:leftFromText="180" w:rightFromText="180" w:vertAnchor="text" w:horzAnchor="page" w:tblpXSpec="center" w:tblpY="77"/>
        <w:tblW w:w="5148" w:type="dxa"/>
        <w:tblLayout w:type="fixed"/>
        <w:tblLook w:val="04A0" w:firstRow="1" w:lastRow="0" w:firstColumn="1" w:lastColumn="0" w:noHBand="0" w:noVBand="1"/>
      </w:tblPr>
      <w:tblGrid>
        <w:gridCol w:w="1435"/>
        <w:gridCol w:w="3713"/>
      </w:tblGrid>
      <w:tr w:rsidR="00B435A8" w:rsidRPr="00D500CA" w14:paraId="6A107EA0" w14:textId="77777777" w:rsidTr="006B47E0">
        <w:trPr>
          <w:trHeight w:hRule="exact" w:val="370"/>
        </w:trPr>
        <w:tc>
          <w:tcPr>
            <w:tcW w:w="1435" w:type="dxa"/>
            <w:shd w:val="clear" w:color="auto" w:fill="7F7F7F" w:themeFill="text1" w:themeFillTint="80"/>
            <w:vAlign w:val="bottom"/>
          </w:tcPr>
          <w:p w14:paraId="2A23F72C" w14:textId="77777777" w:rsidR="00B435A8" w:rsidRPr="00D500CA" w:rsidRDefault="00B435A8" w:rsidP="00B04760">
            <w:pPr>
              <w:pStyle w:val="ListParagraph"/>
              <w:ind w:left="0"/>
              <w:jc w:val="center"/>
              <w:rPr>
                <w:rFonts w:ascii="Arial" w:hAnsi="Arial" w:cs="Arial"/>
                <w:color w:val="FFFFFF" w:themeColor="background1"/>
                <w:sz w:val="20"/>
                <w:szCs w:val="20"/>
              </w:rPr>
            </w:pPr>
            <w:r>
              <w:rPr>
                <w:rFonts w:ascii="Arial" w:hAnsi="Arial" w:cs="Arial"/>
                <w:color w:val="FFFFFF" w:themeColor="background1"/>
                <w:sz w:val="20"/>
                <w:szCs w:val="20"/>
              </w:rPr>
              <w:t>Item Number</w:t>
            </w:r>
          </w:p>
        </w:tc>
        <w:tc>
          <w:tcPr>
            <w:tcW w:w="3713" w:type="dxa"/>
            <w:shd w:val="clear" w:color="auto" w:fill="7F7F7F" w:themeFill="text1" w:themeFillTint="80"/>
            <w:vAlign w:val="bottom"/>
          </w:tcPr>
          <w:p w14:paraId="40CE18E5" w14:textId="58FE70A3" w:rsidR="00B435A8" w:rsidRPr="00D500CA" w:rsidRDefault="00B435A8" w:rsidP="00B04760">
            <w:pPr>
              <w:pStyle w:val="ListParagraph"/>
              <w:ind w:left="0"/>
              <w:rPr>
                <w:rFonts w:ascii="Arial" w:hAnsi="Arial" w:cs="Arial"/>
                <w:color w:val="FFFFFF" w:themeColor="background1"/>
                <w:sz w:val="20"/>
                <w:szCs w:val="20"/>
              </w:rPr>
            </w:pPr>
            <w:r>
              <w:rPr>
                <w:rFonts w:ascii="Arial" w:hAnsi="Arial" w:cs="Arial"/>
                <w:color w:val="FFFFFF" w:themeColor="background1"/>
                <w:sz w:val="20"/>
                <w:szCs w:val="20"/>
              </w:rPr>
              <w:t>Number of Tubes and Volume</w:t>
            </w:r>
          </w:p>
        </w:tc>
      </w:tr>
      <w:tr w:rsidR="00B435A8" w:rsidRPr="00D500CA" w14:paraId="0E702FC5" w14:textId="77777777" w:rsidTr="006B47E0">
        <w:trPr>
          <w:trHeight w:hRule="exact" w:val="288"/>
        </w:trPr>
        <w:tc>
          <w:tcPr>
            <w:tcW w:w="1435" w:type="dxa"/>
            <w:vAlign w:val="bottom"/>
          </w:tcPr>
          <w:p w14:paraId="15D69DCA" w14:textId="10EC6DF5" w:rsidR="00B435A8" w:rsidRPr="00D500CA" w:rsidRDefault="00B435A8" w:rsidP="00B04760">
            <w:pPr>
              <w:pStyle w:val="ListParagraph"/>
              <w:ind w:left="0"/>
              <w:rPr>
                <w:rFonts w:ascii="Arial" w:hAnsi="Arial" w:cs="Arial"/>
                <w:sz w:val="20"/>
                <w:szCs w:val="20"/>
              </w:rPr>
            </w:pPr>
            <w:r>
              <w:rPr>
                <w:rFonts w:ascii="Arial" w:hAnsi="Arial" w:cs="Arial"/>
                <w:sz w:val="20"/>
                <w:szCs w:val="20"/>
              </w:rPr>
              <w:t>LD-MG-4mL</w:t>
            </w:r>
          </w:p>
        </w:tc>
        <w:tc>
          <w:tcPr>
            <w:tcW w:w="3713" w:type="dxa"/>
            <w:vAlign w:val="bottom"/>
          </w:tcPr>
          <w:p w14:paraId="657003CE" w14:textId="4AF6EDB1" w:rsidR="00B435A8" w:rsidRPr="00D500CA" w:rsidRDefault="006B47E0" w:rsidP="00C63CE6">
            <w:pPr>
              <w:pStyle w:val="ListParagraph"/>
              <w:ind w:left="0"/>
              <w:jc w:val="center"/>
              <w:rPr>
                <w:rFonts w:ascii="Arial" w:hAnsi="Arial" w:cs="Arial"/>
                <w:sz w:val="20"/>
                <w:szCs w:val="20"/>
              </w:rPr>
            </w:pPr>
            <w:r>
              <w:rPr>
                <w:rFonts w:ascii="Arial" w:hAnsi="Arial" w:cs="Arial"/>
                <w:sz w:val="20"/>
                <w:szCs w:val="20"/>
              </w:rPr>
              <w:t xml:space="preserve">6X </w:t>
            </w:r>
            <w:proofErr w:type="spellStart"/>
            <w:r>
              <w:rPr>
                <w:rFonts w:ascii="Arial" w:hAnsi="Arial" w:cs="Arial"/>
                <w:sz w:val="20"/>
              </w:rPr>
              <w:t>MeanGreen</w:t>
            </w:r>
            <w:proofErr w:type="spellEnd"/>
            <w:r>
              <w:rPr>
                <w:rFonts w:ascii="Arial" w:hAnsi="Arial" w:cs="Arial"/>
                <w:sz w:val="20"/>
              </w:rPr>
              <w:t xml:space="preserve"> Loading Dye</w:t>
            </w:r>
            <w:r>
              <w:rPr>
                <w:rFonts w:ascii="Arial" w:hAnsi="Arial" w:cs="Arial"/>
                <w:sz w:val="20"/>
                <w:szCs w:val="20"/>
              </w:rPr>
              <w:t xml:space="preserve">: </w:t>
            </w:r>
            <w:r w:rsidR="00B435A8">
              <w:rPr>
                <w:rFonts w:ascii="Arial" w:hAnsi="Arial" w:cs="Arial"/>
                <w:sz w:val="20"/>
                <w:szCs w:val="20"/>
              </w:rPr>
              <w:t>4 x 1mL tube</w:t>
            </w:r>
          </w:p>
        </w:tc>
      </w:tr>
      <w:tr w:rsidR="00B435A8" w:rsidRPr="00D500CA" w14:paraId="45140F90" w14:textId="77777777" w:rsidTr="006B47E0">
        <w:trPr>
          <w:trHeight w:hRule="exact" w:val="288"/>
        </w:trPr>
        <w:tc>
          <w:tcPr>
            <w:tcW w:w="1435" w:type="dxa"/>
            <w:vAlign w:val="bottom"/>
          </w:tcPr>
          <w:p w14:paraId="5E5E1C84" w14:textId="2E0D08B3" w:rsidR="00B435A8" w:rsidRDefault="00B435A8" w:rsidP="00B435A8">
            <w:pPr>
              <w:pStyle w:val="ListParagraph"/>
              <w:ind w:left="0"/>
              <w:rPr>
                <w:rFonts w:ascii="Arial" w:hAnsi="Arial" w:cs="Arial"/>
                <w:sz w:val="20"/>
                <w:szCs w:val="20"/>
              </w:rPr>
            </w:pPr>
            <w:r>
              <w:rPr>
                <w:rFonts w:ascii="Arial" w:hAnsi="Arial" w:cs="Arial"/>
                <w:sz w:val="20"/>
                <w:szCs w:val="20"/>
              </w:rPr>
              <w:t>LD-MG-20mL</w:t>
            </w:r>
          </w:p>
        </w:tc>
        <w:tc>
          <w:tcPr>
            <w:tcW w:w="3713" w:type="dxa"/>
            <w:vAlign w:val="bottom"/>
          </w:tcPr>
          <w:p w14:paraId="5B78D1C3" w14:textId="348181AB" w:rsidR="00B435A8" w:rsidRDefault="006B47E0" w:rsidP="00B435A8">
            <w:pPr>
              <w:pStyle w:val="ListParagraph"/>
              <w:ind w:left="0"/>
              <w:jc w:val="center"/>
              <w:rPr>
                <w:rFonts w:ascii="Arial" w:hAnsi="Arial" w:cs="Arial"/>
                <w:sz w:val="20"/>
                <w:szCs w:val="20"/>
              </w:rPr>
            </w:pPr>
            <w:r>
              <w:rPr>
                <w:rFonts w:ascii="Arial" w:hAnsi="Arial" w:cs="Arial"/>
                <w:sz w:val="20"/>
                <w:szCs w:val="20"/>
              </w:rPr>
              <w:t xml:space="preserve">6X </w:t>
            </w:r>
            <w:proofErr w:type="spellStart"/>
            <w:r>
              <w:rPr>
                <w:rFonts w:ascii="Arial" w:hAnsi="Arial" w:cs="Arial"/>
                <w:sz w:val="20"/>
              </w:rPr>
              <w:t>MeanGreen</w:t>
            </w:r>
            <w:proofErr w:type="spellEnd"/>
            <w:r>
              <w:rPr>
                <w:rFonts w:ascii="Arial" w:hAnsi="Arial" w:cs="Arial"/>
                <w:sz w:val="20"/>
              </w:rPr>
              <w:t xml:space="preserve"> Loading Dye</w:t>
            </w:r>
            <w:r>
              <w:rPr>
                <w:rFonts w:ascii="Arial" w:hAnsi="Arial" w:cs="Arial"/>
                <w:sz w:val="20"/>
                <w:szCs w:val="20"/>
              </w:rPr>
              <w:t xml:space="preserve">: </w:t>
            </w:r>
            <w:r w:rsidR="00B435A8">
              <w:rPr>
                <w:rFonts w:ascii="Arial" w:hAnsi="Arial" w:cs="Arial"/>
                <w:sz w:val="20"/>
                <w:szCs w:val="20"/>
              </w:rPr>
              <w:t>20 x 1mL tube</w:t>
            </w:r>
          </w:p>
        </w:tc>
      </w:tr>
    </w:tbl>
    <w:p w14:paraId="7B13E68B" w14:textId="77777777" w:rsidR="00B04760" w:rsidRPr="00D500CA" w:rsidRDefault="00B04760" w:rsidP="00C55B31">
      <w:pPr>
        <w:pStyle w:val="ListParagraph"/>
        <w:tabs>
          <w:tab w:val="left" w:pos="450"/>
          <w:tab w:val="left" w:pos="6145"/>
        </w:tabs>
        <w:spacing w:line="240" w:lineRule="auto"/>
        <w:ind w:left="0"/>
        <w:jc w:val="both"/>
        <w:outlineLvl w:val="0"/>
        <w:rPr>
          <w:rFonts w:ascii="Arial" w:hAnsi="Arial" w:cs="Arial"/>
          <w:sz w:val="20"/>
          <w:szCs w:val="20"/>
        </w:rPr>
      </w:pPr>
    </w:p>
    <w:p w14:paraId="3B643D3D" w14:textId="77777777" w:rsidR="00C55B31" w:rsidRPr="00D500CA" w:rsidRDefault="00C55B31" w:rsidP="00C55B31">
      <w:pPr>
        <w:pStyle w:val="ListParagraph"/>
        <w:tabs>
          <w:tab w:val="left" w:pos="450"/>
        </w:tabs>
        <w:spacing w:line="240" w:lineRule="auto"/>
        <w:ind w:left="0"/>
        <w:jc w:val="both"/>
        <w:outlineLvl w:val="0"/>
        <w:rPr>
          <w:rFonts w:ascii="Arial" w:hAnsi="Arial" w:cs="Arial"/>
          <w:b/>
          <w:sz w:val="20"/>
          <w:szCs w:val="20"/>
        </w:rPr>
      </w:pPr>
    </w:p>
    <w:p w14:paraId="5D18EA0C" w14:textId="77777777" w:rsidR="00C55B31" w:rsidRPr="00D500CA" w:rsidRDefault="00C55B31" w:rsidP="00C55B31">
      <w:pPr>
        <w:pStyle w:val="ListParagraph"/>
        <w:spacing w:line="240" w:lineRule="auto"/>
        <w:ind w:left="0"/>
        <w:jc w:val="both"/>
        <w:rPr>
          <w:rFonts w:ascii="Arial" w:hAnsi="Arial" w:cs="Arial"/>
          <w:b/>
          <w:sz w:val="20"/>
          <w:szCs w:val="20"/>
        </w:rPr>
      </w:pPr>
    </w:p>
    <w:p w14:paraId="0292D1CC" w14:textId="77777777" w:rsidR="00B04760" w:rsidRDefault="00B04760" w:rsidP="00C55B31">
      <w:pPr>
        <w:pStyle w:val="ListParagraph"/>
        <w:spacing w:line="240" w:lineRule="auto"/>
        <w:ind w:left="0"/>
        <w:jc w:val="both"/>
        <w:rPr>
          <w:rFonts w:ascii="Arial" w:hAnsi="Arial" w:cs="Arial"/>
          <w:b/>
          <w:sz w:val="20"/>
          <w:szCs w:val="20"/>
        </w:rPr>
      </w:pPr>
    </w:p>
    <w:p w14:paraId="3DEBDED5" w14:textId="77777777" w:rsidR="00B04760" w:rsidRDefault="00B04760" w:rsidP="00C55B31">
      <w:pPr>
        <w:pStyle w:val="ListParagraph"/>
        <w:spacing w:line="240" w:lineRule="auto"/>
        <w:ind w:left="0"/>
        <w:jc w:val="both"/>
        <w:rPr>
          <w:rFonts w:ascii="Arial" w:hAnsi="Arial" w:cs="Arial"/>
          <w:b/>
          <w:sz w:val="20"/>
          <w:szCs w:val="20"/>
        </w:rPr>
      </w:pPr>
    </w:p>
    <w:p w14:paraId="641FB288" w14:textId="77777777" w:rsidR="00C55B31" w:rsidRPr="00D500CA" w:rsidRDefault="00C55B31" w:rsidP="00B435A8">
      <w:pPr>
        <w:pStyle w:val="ListParagraph"/>
        <w:tabs>
          <w:tab w:val="left" w:pos="5821"/>
        </w:tabs>
        <w:spacing w:line="240" w:lineRule="auto"/>
        <w:ind w:left="0"/>
        <w:rPr>
          <w:rFonts w:ascii="Arial" w:hAnsi="Arial" w:cs="Arial"/>
          <w:sz w:val="20"/>
          <w:szCs w:val="20"/>
        </w:rPr>
      </w:pPr>
      <w:r w:rsidRPr="00D500CA">
        <w:rPr>
          <w:rFonts w:ascii="Arial" w:hAnsi="Arial" w:cs="Arial"/>
          <w:b/>
          <w:sz w:val="20"/>
          <w:szCs w:val="20"/>
        </w:rPr>
        <w:t xml:space="preserve">Product Description: </w:t>
      </w:r>
    </w:p>
    <w:p w14:paraId="14927A74" w14:textId="6BC2106E" w:rsidR="008A5AED" w:rsidRDefault="00C6263A" w:rsidP="00B435A8">
      <w:pPr>
        <w:pStyle w:val="ListParagraph"/>
        <w:spacing w:line="240" w:lineRule="auto"/>
        <w:ind w:left="0"/>
        <w:rPr>
          <w:rFonts w:ascii="Arial" w:hAnsi="Arial" w:cs="Arial"/>
          <w:sz w:val="20"/>
          <w:szCs w:val="20"/>
        </w:rPr>
      </w:pPr>
      <w:r>
        <w:rPr>
          <w:rFonts w:ascii="Arial" w:hAnsi="Arial" w:cs="Arial"/>
          <w:sz w:val="20"/>
          <w:szCs w:val="20"/>
        </w:rPr>
        <w:t xml:space="preserve">Empirical’s </w:t>
      </w:r>
      <w:r w:rsidR="00EF3901">
        <w:rPr>
          <w:rFonts w:ascii="Arial" w:hAnsi="Arial" w:cs="Arial"/>
          <w:sz w:val="20"/>
          <w:szCs w:val="20"/>
        </w:rPr>
        <w:t>6</w:t>
      </w:r>
      <w:r w:rsidR="008A5AED">
        <w:rPr>
          <w:rFonts w:ascii="Arial" w:hAnsi="Arial" w:cs="Arial"/>
          <w:sz w:val="20"/>
          <w:szCs w:val="20"/>
        </w:rPr>
        <w:t xml:space="preserve">X </w:t>
      </w:r>
      <w:proofErr w:type="spellStart"/>
      <w:r w:rsidR="008A5AED" w:rsidRPr="00741905">
        <w:rPr>
          <w:rFonts w:ascii="Arial" w:hAnsi="Arial" w:cs="Arial"/>
          <w:sz w:val="20"/>
          <w:szCs w:val="20"/>
        </w:rPr>
        <w:t>MeanGreen</w:t>
      </w:r>
      <w:proofErr w:type="spellEnd"/>
      <w:r w:rsidR="008A5AED" w:rsidRPr="00741905">
        <w:rPr>
          <w:rFonts w:ascii="Arial" w:hAnsi="Arial" w:cs="Arial"/>
          <w:sz w:val="20"/>
          <w:szCs w:val="20"/>
        </w:rPr>
        <w:t xml:space="preserve"> </w:t>
      </w:r>
      <w:r w:rsidR="00EF3901">
        <w:rPr>
          <w:rFonts w:ascii="Arial" w:hAnsi="Arial" w:cs="Arial"/>
          <w:sz w:val="20"/>
          <w:szCs w:val="20"/>
        </w:rPr>
        <w:t>Loading Dye</w:t>
      </w:r>
      <w:r w:rsidR="008A5AED" w:rsidRPr="00741905">
        <w:rPr>
          <w:rFonts w:ascii="Arial" w:hAnsi="Arial" w:cs="Arial"/>
          <w:sz w:val="20"/>
          <w:szCs w:val="20"/>
        </w:rPr>
        <w:t xml:space="preserve"> </w:t>
      </w:r>
      <w:r w:rsidR="00201380" w:rsidRPr="00601C10">
        <w:rPr>
          <w:rFonts w:ascii="Arial" w:hAnsi="Arial" w:cs="Arial"/>
          <w:sz w:val="20"/>
          <w:szCs w:val="20"/>
        </w:rPr>
        <w:t>contains blue and yellow loading dyes and a density agent that allow reactions to be loaded directly onto agarose gels and make monitoring progress during electrophoresis easy. These dyes do not obscure visualization of DNA bands on the gel as the dye fronts run outside the size of most PCR products</w:t>
      </w:r>
      <w:r w:rsidR="008A5AED" w:rsidRPr="006051CF">
        <w:rPr>
          <w:rFonts w:ascii="Arial" w:hAnsi="Arial" w:cs="Arial"/>
          <w:sz w:val="20"/>
          <w:szCs w:val="20"/>
        </w:rPr>
        <w:t>.</w:t>
      </w:r>
      <w:r w:rsidR="00EF3901">
        <w:rPr>
          <w:rFonts w:ascii="Arial" w:hAnsi="Arial" w:cs="Arial"/>
          <w:sz w:val="20"/>
          <w:szCs w:val="20"/>
        </w:rPr>
        <w:t xml:space="preserve"> </w:t>
      </w:r>
    </w:p>
    <w:p w14:paraId="18632455" w14:textId="77777777" w:rsidR="00321299" w:rsidRDefault="00321299" w:rsidP="00B435A8">
      <w:pPr>
        <w:pStyle w:val="ListParagraph"/>
        <w:spacing w:line="240" w:lineRule="auto"/>
        <w:ind w:left="0"/>
        <w:rPr>
          <w:rFonts w:ascii="Arial" w:hAnsi="Arial" w:cs="Arial"/>
          <w:sz w:val="20"/>
          <w:szCs w:val="20"/>
        </w:rPr>
      </w:pPr>
    </w:p>
    <w:p w14:paraId="2B1F16B5" w14:textId="3E5868DF" w:rsidR="006F132B" w:rsidRPr="00D500CA" w:rsidRDefault="005077F1" w:rsidP="00B435A8">
      <w:pPr>
        <w:pStyle w:val="ListParagraph"/>
        <w:spacing w:line="240" w:lineRule="auto"/>
        <w:ind w:left="0"/>
        <w:rPr>
          <w:rFonts w:ascii="Arial" w:hAnsi="Arial" w:cs="Arial"/>
          <w:sz w:val="20"/>
          <w:szCs w:val="20"/>
        </w:rPr>
      </w:pPr>
      <w:r>
        <w:rPr>
          <w:rFonts w:ascii="Arial" w:hAnsi="Arial" w:cs="Arial"/>
          <w:sz w:val="20"/>
          <w:szCs w:val="20"/>
        </w:rPr>
        <w:t xml:space="preserve">The </w:t>
      </w:r>
      <w:r w:rsidR="006F132B" w:rsidRPr="006F132B">
        <w:rPr>
          <w:rFonts w:ascii="Arial" w:hAnsi="Arial" w:cs="Arial"/>
          <w:sz w:val="20"/>
          <w:szCs w:val="20"/>
        </w:rPr>
        <w:t xml:space="preserve">6X </w:t>
      </w:r>
      <w:proofErr w:type="spellStart"/>
      <w:r w:rsidR="006F132B" w:rsidRPr="006F132B">
        <w:rPr>
          <w:rFonts w:ascii="Arial" w:hAnsi="Arial" w:cs="Arial"/>
          <w:sz w:val="20"/>
          <w:szCs w:val="20"/>
        </w:rPr>
        <w:t>MeanGreen</w:t>
      </w:r>
      <w:proofErr w:type="spellEnd"/>
      <w:r w:rsidR="006F132B" w:rsidRPr="006F132B">
        <w:rPr>
          <w:rFonts w:ascii="Arial" w:hAnsi="Arial" w:cs="Arial"/>
          <w:sz w:val="20"/>
          <w:szCs w:val="20"/>
        </w:rPr>
        <w:t xml:space="preserve"> Loading Dye </w:t>
      </w:r>
      <w:r w:rsidR="006F132B">
        <w:rPr>
          <w:rFonts w:ascii="Arial" w:hAnsi="Arial" w:cs="Arial"/>
          <w:sz w:val="20"/>
          <w:szCs w:val="20"/>
        </w:rPr>
        <w:t xml:space="preserve">is supplied in a solution with Glycerol, Tris-HCl (pH 7.9) and EDTA. </w:t>
      </w:r>
    </w:p>
    <w:p w14:paraId="61D85AB8" w14:textId="77777777" w:rsidR="00C55B31" w:rsidRPr="00D500CA" w:rsidRDefault="00C55B31" w:rsidP="00B435A8">
      <w:pPr>
        <w:pStyle w:val="ListParagraph"/>
        <w:spacing w:line="240" w:lineRule="auto"/>
        <w:ind w:left="0"/>
        <w:rPr>
          <w:rFonts w:ascii="Arial" w:hAnsi="Arial" w:cs="Arial"/>
          <w:sz w:val="20"/>
          <w:szCs w:val="20"/>
        </w:rPr>
      </w:pPr>
    </w:p>
    <w:p w14:paraId="623EE8C7" w14:textId="6CDB3645" w:rsidR="00E5494A" w:rsidRDefault="00B91EF9" w:rsidP="00B435A8">
      <w:pPr>
        <w:pStyle w:val="ListParagraph"/>
        <w:spacing w:line="240" w:lineRule="auto"/>
        <w:ind w:left="0"/>
        <w:rPr>
          <w:rFonts w:ascii="Arial" w:hAnsi="Arial" w:cs="Arial"/>
          <w:b/>
          <w:sz w:val="20"/>
          <w:szCs w:val="20"/>
        </w:rPr>
      </w:pPr>
      <w:r>
        <w:rPr>
          <w:rFonts w:ascii="Arial" w:hAnsi="Arial" w:cs="Arial"/>
          <w:b/>
          <w:sz w:val="20"/>
          <w:szCs w:val="20"/>
        </w:rPr>
        <w:t>Usage:</w:t>
      </w:r>
    </w:p>
    <w:p w14:paraId="2DDB8C2D" w14:textId="24DEB974" w:rsidR="00C55B31" w:rsidRDefault="00F53290" w:rsidP="00B435A8">
      <w:pPr>
        <w:pStyle w:val="ListParagraph"/>
        <w:spacing w:line="240" w:lineRule="auto"/>
        <w:ind w:left="0"/>
      </w:pPr>
      <w:r>
        <w:rPr>
          <w:rFonts w:ascii="Arial" w:hAnsi="Arial" w:cs="Arial"/>
          <w:sz w:val="20"/>
          <w:szCs w:val="20"/>
        </w:rPr>
        <w:t xml:space="preserve">Add 6X </w:t>
      </w:r>
      <w:proofErr w:type="spellStart"/>
      <w:r>
        <w:rPr>
          <w:rFonts w:ascii="Arial" w:hAnsi="Arial" w:cs="Arial"/>
          <w:sz w:val="20"/>
          <w:szCs w:val="20"/>
        </w:rPr>
        <w:t>MeanGreen</w:t>
      </w:r>
      <w:proofErr w:type="spellEnd"/>
      <w:r>
        <w:rPr>
          <w:rFonts w:ascii="Arial" w:hAnsi="Arial" w:cs="Arial"/>
          <w:sz w:val="20"/>
          <w:szCs w:val="20"/>
        </w:rPr>
        <w:t xml:space="preserve"> Loading Dye to reactions to a total of 1X Concentration.  Example: </w:t>
      </w:r>
      <w:r w:rsidR="00B91EF9">
        <w:rPr>
          <w:rFonts w:ascii="Arial" w:hAnsi="Arial" w:cs="Arial"/>
          <w:sz w:val="20"/>
          <w:szCs w:val="20"/>
        </w:rPr>
        <w:t>Add 2</w:t>
      </w:r>
      <w:r w:rsidR="00B91EF9" w:rsidRPr="00B91EF9">
        <w:rPr>
          <w:rFonts w:ascii="Arial" w:hAnsi="Arial" w:cs="Arial"/>
          <w:sz w:val="20"/>
          <w:szCs w:val="20"/>
        </w:rPr>
        <w:t>µl</w:t>
      </w:r>
      <w:r w:rsidR="005077F1">
        <w:rPr>
          <w:rFonts w:ascii="Arial" w:hAnsi="Arial" w:cs="Arial"/>
          <w:sz w:val="20"/>
          <w:szCs w:val="20"/>
        </w:rPr>
        <w:t xml:space="preserve"> of</w:t>
      </w:r>
      <w:r w:rsidR="00B91EF9">
        <w:rPr>
          <w:rFonts w:ascii="Arial" w:hAnsi="Arial" w:cs="Arial"/>
          <w:sz w:val="20"/>
          <w:szCs w:val="20"/>
        </w:rPr>
        <w:t xml:space="preserve"> </w:t>
      </w:r>
      <w:r w:rsidR="00F24D23" w:rsidRPr="006F132B">
        <w:rPr>
          <w:rFonts w:ascii="Arial" w:hAnsi="Arial" w:cs="Arial"/>
          <w:sz w:val="20"/>
          <w:szCs w:val="20"/>
        </w:rPr>
        <w:t xml:space="preserve">6X </w:t>
      </w:r>
      <w:proofErr w:type="spellStart"/>
      <w:r w:rsidR="00F24D23" w:rsidRPr="006F132B">
        <w:rPr>
          <w:rFonts w:ascii="Arial" w:hAnsi="Arial" w:cs="Arial"/>
          <w:sz w:val="20"/>
          <w:szCs w:val="20"/>
        </w:rPr>
        <w:t>MeanGreen</w:t>
      </w:r>
      <w:proofErr w:type="spellEnd"/>
      <w:r w:rsidR="00F24D23" w:rsidRPr="006F132B">
        <w:rPr>
          <w:rFonts w:ascii="Arial" w:hAnsi="Arial" w:cs="Arial"/>
          <w:sz w:val="20"/>
          <w:szCs w:val="20"/>
        </w:rPr>
        <w:t xml:space="preserve"> Loading Dye</w:t>
      </w:r>
      <w:r w:rsidR="00B91EF9">
        <w:rPr>
          <w:rFonts w:ascii="Arial" w:hAnsi="Arial" w:cs="Arial"/>
          <w:sz w:val="20"/>
          <w:szCs w:val="20"/>
        </w:rPr>
        <w:t xml:space="preserve"> </w:t>
      </w:r>
      <w:r w:rsidR="005077F1">
        <w:rPr>
          <w:rFonts w:ascii="Arial" w:hAnsi="Arial" w:cs="Arial"/>
          <w:sz w:val="20"/>
          <w:szCs w:val="20"/>
        </w:rPr>
        <w:t>to</w:t>
      </w:r>
      <w:r w:rsidR="00B91EF9">
        <w:rPr>
          <w:rFonts w:ascii="Arial" w:hAnsi="Arial" w:cs="Arial"/>
          <w:sz w:val="20"/>
          <w:szCs w:val="20"/>
        </w:rPr>
        <w:t xml:space="preserve"> a 10</w:t>
      </w:r>
      <w:r w:rsidR="00B91EF9" w:rsidRPr="00B91EF9">
        <w:rPr>
          <w:rFonts w:ascii="Arial" w:hAnsi="Arial" w:cs="Arial"/>
          <w:sz w:val="20"/>
          <w:szCs w:val="20"/>
        </w:rPr>
        <w:t>µl</w:t>
      </w:r>
      <w:r w:rsidR="005077F1">
        <w:rPr>
          <w:rFonts w:ascii="Arial" w:hAnsi="Arial" w:cs="Arial"/>
          <w:sz w:val="20"/>
          <w:szCs w:val="20"/>
        </w:rPr>
        <w:t xml:space="preserve"> sample</w:t>
      </w:r>
      <w:r w:rsidR="00F24D23">
        <w:rPr>
          <w:rFonts w:ascii="Arial" w:hAnsi="Arial" w:cs="Arial"/>
          <w:sz w:val="20"/>
          <w:szCs w:val="20"/>
        </w:rPr>
        <w:t>,</w:t>
      </w:r>
      <w:r w:rsidR="00B91EF9">
        <w:rPr>
          <w:rFonts w:ascii="Arial" w:hAnsi="Arial" w:cs="Arial"/>
          <w:sz w:val="20"/>
          <w:szCs w:val="20"/>
        </w:rPr>
        <w:t xml:space="preserve"> </w:t>
      </w:r>
      <w:r w:rsidR="00F24D23">
        <w:rPr>
          <w:rFonts w:ascii="Arial" w:hAnsi="Arial" w:cs="Arial"/>
          <w:sz w:val="20"/>
          <w:szCs w:val="20"/>
        </w:rPr>
        <w:t>5</w:t>
      </w:r>
      <w:r w:rsidR="00B91EF9" w:rsidRPr="00B91EF9">
        <w:rPr>
          <w:rFonts w:ascii="Arial" w:hAnsi="Arial" w:cs="Arial"/>
          <w:sz w:val="20"/>
          <w:szCs w:val="20"/>
        </w:rPr>
        <w:t>µl</w:t>
      </w:r>
      <w:r w:rsidR="00B91EF9">
        <w:rPr>
          <w:rFonts w:ascii="Arial" w:hAnsi="Arial" w:cs="Arial"/>
          <w:sz w:val="20"/>
          <w:szCs w:val="20"/>
        </w:rPr>
        <w:t xml:space="preserve"> </w:t>
      </w:r>
      <w:r w:rsidR="005077F1">
        <w:rPr>
          <w:rFonts w:ascii="Arial" w:hAnsi="Arial" w:cs="Arial"/>
          <w:sz w:val="20"/>
          <w:szCs w:val="20"/>
        </w:rPr>
        <w:t>to</w:t>
      </w:r>
      <w:r w:rsidR="00B91EF9">
        <w:rPr>
          <w:rFonts w:ascii="Arial" w:hAnsi="Arial" w:cs="Arial"/>
          <w:sz w:val="20"/>
          <w:szCs w:val="20"/>
        </w:rPr>
        <w:t xml:space="preserve"> a </w:t>
      </w:r>
      <w:r w:rsidR="00F24D23">
        <w:rPr>
          <w:rFonts w:ascii="Arial" w:hAnsi="Arial" w:cs="Arial"/>
          <w:sz w:val="20"/>
          <w:szCs w:val="20"/>
        </w:rPr>
        <w:t>25</w:t>
      </w:r>
      <w:r w:rsidR="00F24D23" w:rsidRPr="00F24D23">
        <w:rPr>
          <w:rFonts w:ascii="Arial" w:hAnsi="Arial" w:cs="Arial"/>
          <w:sz w:val="20"/>
          <w:szCs w:val="20"/>
        </w:rPr>
        <w:t>µl</w:t>
      </w:r>
      <w:r w:rsidR="00F24D23">
        <w:rPr>
          <w:rFonts w:ascii="Arial" w:hAnsi="Arial" w:cs="Arial"/>
          <w:sz w:val="20"/>
          <w:szCs w:val="20"/>
        </w:rPr>
        <w:t xml:space="preserve"> </w:t>
      </w:r>
      <w:r w:rsidR="005077F1">
        <w:rPr>
          <w:rFonts w:ascii="Arial" w:hAnsi="Arial" w:cs="Arial"/>
          <w:sz w:val="20"/>
          <w:szCs w:val="20"/>
        </w:rPr>
        <w:t>sample</w:t>
      </w:r>
      <w:r w:rsidR="00F24D23">
        <w:rPr>
          <w:rFonts w:ascii="Arial" w:hAnsi="Arial" w:cs="Arial"/>
          <w:sz w:val="20"/>
          <w:szCs w:val="20"/>
        </w:rPr>
        <w:t xml:space="preserve"> and 10</w:t>
      </w:r>
      <w:r w:rsidR="00F24D23" w:rsidRPr="00B91EF9">
        <w:rPr>
          <w:rFonts w:ascii="Arial" w:hAnsi="Arial" w:cs="Arial"/>
          <w:sz w:val="20"/>
          <w:szCs w:val="20"/>
        </w:rPr>
        <w:t>µl</w:t>
      </w:r>
      <w:r w:rsidR="00F24D23">
        <w:rPr>
          <w:rFonts w:ascii="Arial" w:hAnsi="Arial" w:cs="Arial"/>
          <w:sz w:val="20"/>
          <w:szCs w:val="20"/>
        </w:rPr>
        <w:t xml:space="preserve"> </w:t>
      </w:r>
      <w:r w:rsidR="005077F1">
        <w:rPr>
          <w:rFonts w:ascii="Arial" w:hAnsi="Arial" w:cs="Arial"/>
          <w:sz w:val="20"/>
          <w:szCs w:val="20"/>
        </w:rPr>
        <w:t>to</w:t>
      </w:r>
      <w:r w:rsidR="00F24D23">
        <w:rPr>
          <w:rFonts w:ascii="Arial" w:hAnsi="Arial" w:cs="Arial"/>
          <w:sz w:val="20"/>
          <w:szCs w:val="20"/>
        </w:rPr>
        <w:t xml:space="preserve"> a 50</w:t>
      </w:r>
      <w:r w:rsidR="00F24D23" w:rsidRPr="00F24D23">
        <w:rPr>
          <w:rFonts w:ascii="Arial" w:hAnsi="Arial" w:cs="Arial"/>
          <w:sz w:val="20"/>
          <w:szCs w:val="20"/>
        </w:rPr>
        <w:t>µl</w:t>
      </w:r>
      <w:r w:rsidR="00F24D23">
        <w:rPr>
          <w:rFonts w:ascii="Arial" w:hAnsi="Arial" w:cs="Arial"/>
          <w:sz w:val="20"/>
          <w:szCs w:val="20"/>
        </w:rPr>
        <w:t xml:space="preserve"> </w:t>
      </w:r>
      <w:r w:rsidR="005077F1">
        <w:rPr>
          <w:rFonts w:ascii="Arial" w:hAnsi="Arial" w:cs="Arial"/>
          <w:sz w:val="20"/>
          <w:szCs w:val="20"/>
        </w:rPr>
        <w:t>sample</w:t>
      </w:r>
      <w:r w:rsidR="00F24D23">
        <w:rPr>
          <w:rFonts w:ascii="Arial" w:hAnsi="Arial" w:cs="Arial"/>
          <w:sz w:val="20"/>
          <w:szCs w:val="20"/>
        </w:rPr>
        <w:t>. Mix well before loading onto the gel.</w:t>
      </w:r>
    </w:p>
    <w:p w14:paraId="62490C18" w14:textId="77777777" w:rsidR="00D12B69" w:rsidRDefault="00D12B69"/>
    <w:sectPr w:rsidR="00D12B69" w:rsidSect="00321299">
      <w:headerReference w:type="even" r:id="rId6"/>
      <w:headerReference w:type="default" r:id="rId7"/>
      <w:footerReference w:type="even" r:id="rId8"/>
      <w:footerReference w:type="default" r:id="rId9"/>
      <w:headerReference w:type="first" r:id="rId10"/>
      <w:footerReference w:type="first" r:id="rId11"/>
      <w:pgSz w:w="12240" w:h="15840" w:code="1"/>
      <w:pgMar w:top="2016" w:right="864" w:bottom="1440" w:left="86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3BFD" w14:textId="77777777" w:rsidR="00F71710" w:rsidRDefault="00F71710">
      <w:pPr>
        <w:spacing w:after="0" w:line="240" w:lineRule="auto"/>
      </w:pPr>
      <w:r>
        <w:separator/>
      </w:r>
    </w:p>
  </w:endnote>
  <w:endnote w:type="continuationSeparator" w:id="0">
    <w:p w14:paraId="577D007A" w14:textId="77777777" w:rsidR="00F71710" w:rsidRDefault="00F7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C087" w14:textId="08DA2C16" w:rsidR="00B91EF9" w:rsidRDefault="00F71710">
    <w:pPr>
      <w:pStyle w:val="Footer"/>
    </w:pPr>
    <w:sdt>
      <w:sdtPr>
        <w:id w:val="969400743"/>
        <w:placeholder>
          <w:docPart w:val="22C170E246F0F448900F2A4D3E432959"/>
        </w:placeholder>
        <w:temporary/>
        <w:showingPlcHdr/>
      </w:sdtPr>
      <w:sdtEndPr/>
      <w:sdtContent>
        <w:r w:rsidR="00B91EF9">
          <w:t>[Type text]</w:t>
        </w:r>
      </w:sdtContent>
    </w:sdt>
    <w:r w:rsidR="00B91EF9">
      <w:ptab w:relativeTo="margin" w:alignment="center" w:leader="none"/>
    </w:r>
    <w:sdt>
      <w:sdtPr>
        <w:id w:val="969400748"/>
        <w:placeholder>
          <w:docPart w:val="3E353AE40E237849B5C762885800E3D7"/>
        </w:placeholder>
        <w:temporary/>
        <w:showingPlcHdr/>
      </w:sdtPr>
      <w:sdtEndPr/>
      <w:sdtContent>
        <w:r w:rsidR="00B91EF9">
          <w:t>[Type text]</w:t>
        </w:r>
      </w:sdtContent>
    </w:sdt>
    <w:r w:rsidR="00B91EF9">
      <w:ptab w:relativeTo="margin" w:alignment="right" w:leader="none"/>
    </w:r>
    <w:sdt>
      <w:sdtPr>
        <w:id w:val="969400753"/>
        <w:placeholder>
          <w:docPart w:val="771331349DF4E4448150AC8DB1D7D794"/>
        </w:placeholder>
        <w:temporary/>
        <w:showingPlcHdr/>
      </w:sdtPr>
      <w:sdtEndPr/>
      <w:sdtContent>
        <w:r w:rsidR="00B91EF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1AAC" w14:textId="77777777" w:rsidR="004A1B4D" w:rsidRDefault="00B435A8" w:rsidP="004A1B4D">
    <w:pPr>
      <w:pStyle w:val="NoSpacing"/>
      <w:jc w:val="center"/>
      <w:rPr>
        <w:rFonts w:ascii="Arial" w:hAnsi="Arial" w:cs="Arial"/>
        <w:b/>
        <w:sz w:val="16"/>
        <w:szCs w:val="16"/>
      </w:rPr>
    </w:pPr>
    <w:bookmarkStart w:id="0" w:name="_Hlk43986411"/>
    <w:bookmarkStart w:id="1" w:name="_Hlk43980818"/>
    <w:bookmarkStart w:id="2" w:name="_Hlk482694963"/>
    <w:r w:rsidRPr="00B435A8">
      <w:rPr>
        <w:rFonts w:ascii="Arial" w:hAnsi="Arial" w:cs="Arial"/>
        <w:b/>
        <w:sz w:val="20"/>
        <w:szCs w:val="20"/>
      </w:rPr>
      <w:t>*</w:t>
    </w:r>
    <w:r w:rsidR="004A1B4D">
      <w:rPr>
        <w:rFonts w:ascii="Arial" w:hAnsi="Arial" w:cs="Arial"/>
        <w:b/>
        <w:sz w:val="16"/>
        <w:szCs w:val="16"/>
      </w:rPr>
      <w:t>This product is intended for Research Use Only.  This product is manufactured under ISO13485:2016 Quality System Requirements and is available for use as a Raw Material for use in IVD applications. Please contact Empirical Bioscience for further details.</w:t>
    </w:r>
  </w:p>
  <w:p w14:paraId="1F1D920A" w14:textId="074E4BE4" w:rsidR="00B435A8" w:rsidRPr="00B435A8" w:rsidRDefault="004A1B4D" w:rsidP="004A1B4D">
    <w:pPr>
      <w:pStyle w:val="NoSpacing"/>
      <w:jc w:val="center"/>
      <w:rPr>
        <w:rFonts w:ascii="Arial" w:hAnsi="Arial" w:cs="Arial"/>
        <w:sz w:val="20"/>
        <w:szCs w:val="20"/>
      </w:rPr>
    </w:pPr>
    <w:r>
      <w:rPr>
        <w:rFonts w:ascii="Arial" w:hAnsi="Arial" w:cs="Arial"/>
        <w:sz w:val="16"/>
        <w:szCs w:val="16"/>
      </w:rPr>
      <w:t>For MSDS and Certificate of Analysis please visit www.empiricalbioscience.com</w:t>
    </w:r>
    <w:r>
      <w:rPr>
        <w:rFonts w:ascii="Arial" w:hAnsi="Arial" w:cs="Arial"/>
        <w:sz w:val="20"/>
        <w:szCs w:val="20"/>
      </w:rPr>
      <w:t xml:space="preserve">  </w:t>
    </w:r>
    <w:r w:rsidR="00B435A8" w:rsidRPr="00B435A8">
      <w:rPr>
        <w:rFonts w:ascii="Arial" w:hAnsi="Arial" w:cs="Arial"/>
        <w:sz w:val="20"/>
        <w:szCs w:val="20"/>
      </w:rPr>
      <w:t xml:space="preserve"> </w:t>
    </w:r>
  </w:p>
  <w:bookmarkEnd w:id="0"/>
  <w:bookmarkEnd w:id="1"/>
  <w:p w14:paraId="7DD05E70" w14:textId="3A829851" w:rsidR="00B91EF9" w:rsidRPr="00B435A8" w:rsidRDefault="00B04760" w:rsidP="00B04760">
    <w:pPr>
      <w:pStyle w:val="Footer"/>
      <w:rPr>
        <w:rFonts w:ascii="Arial" w:hAnsi="Arial" w:cs="Arial"/>
        <w:sz w:val="20"/>
        <w:szCs w:val="20"/>
      </w:rPr>
    </w:pPr>
    <w:r w:rsidRPr="00B435A8">
      <w:rPr>
        <w:rFonts w:ascii="Arial" w:hAnsi="Arial" w:cs="Arial"/>
        <w:sz w:val="20"/>
        <w:szCs w:val="20"/>
      </w:rPr>
      <w:t>PIS-041 Version 00</w:t>
    </w:r>
    <w:r w:rsidR="00B435A8" w:rsidRPr="00B435A8">
      <w:rPr>
        <w:rFonts w:ascii="Arial" w:hAnsi="Arial" w:cs="Arial"/>
        <w:sz w:val="20"/>
        <w:szCs w:val="20"/>
      </w:rPr>
      <w:t>3</w:t>
    </w:r>
    <w:r w:rsidRPr="00B435A8">
      <w:rPr>
        <w:rFonts w:ascii="Arial" w:hAnsi="Arial" w:cs="Arial"/>
        <w:sz w:val="20"/>
        <w:szCs w:val="20"/>
      </w:rPr>
      <w:t xml:space="preserve">  </w:t>
    </w:r>
    <w:bookmarkEnd w:id="2"/>
    <w:r w:rsidR="00B91EF9" w:rsidRPr="00B435A8">
      <w:rPr>
        <w:rFonts w:ascii="Arial" w:hAnsi="Arial" w:cs="Arial"/>
        <w:sz w:val="20"/>
        <w:szCs w:val="20"/>
      </w:rPr>
      <w:ptab w:relativeTo="margin" w:alignment="right" w:leader="none"/>
    </w:r>
    <w:r w:rsidR="00B91EF9" w:rsidRPr="00B435A8">
      <w:rPr>
        <w:rFonts w:ascii="Arial" w:hAnsi="Arial" w:cs="Arial"/>
        <w:sz w:val="20"/>
        <w:szCs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2902" w14:textId="77777777" w:rsidR="004A1B4D" w:rsidRDefault="004A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46313" w14:textId="77777777" w:rsidR="00F71710" w:rsidRDefault="00F71710">
      <w:pPr>
        <w:spacing w:after="0" w:line="240" w:lineRule="auto"/>
      </w:pPr>
      <w:r>
        <w:separator/>
      </w:r>
    </w:p>
  </w:footnote>
  <w:footnote w:type="continuationSeparator" w:id="0">
    <w:p w14:paraId="69AE00D3" w14:textId="77777777" w:rsidR="00F71710" w:rsidRDefault="00F7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655B" w14:textId="77777777" w:rsidR="004A1B4D" w:rsidRDefault="004A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7684"/>
    </w:tblGrid>
    <w:tr w:rsidR="00B435A8" w14:paraId="0B0208D5" w14:textId="77777777" w:rsidTr="00AA5D5D">
      <w:tc>
        <w:tcPr>
          <w:tcW w:w="2818" w:type="dxa"/>
        </w:tcPr>
        <w:p w14:paraId="4771227F" w14:textId="77777777" w:rsidR="00B435A8" w:rsidRDefault="00B435A8" w:rsidP="00B435A8">
          <w:pPr>
            <w:rPr>
              <w:rFonts w:ascii="Arial" w:hAnsi="Arial" w:cs="Arial"/>
              <w:sz w:val="28"/>
              <w:szCs w:val="28"/>
            </w:rPr>
          </w:pPr>
          <w:r>
            <w:rPr>
              <w:rFonts w:ascii="Arial Narrow" w:hAnsi="Arial Narrow" w:cs="Arial Narrow"/>
              <w:b/>
              <w:noProof/>
            </w:rPr>
            <w:drawing>
              <wp:inline distT="0" distB="0" distL="0" distR="0" wp14:anchorId="68198128" wp14:editId="357CDB0F">
                <wp:extent cx="1652703" cy="46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703" cy="465455"/>
                        </a:xfrm>
                        <a:prstGeom prst="rect">
                          <a:avLst/>
                        </a:prstGeom>
                        <a:noFill/>
                        <a:ln>
                          <a:noFill/>
                        </a:ln>
                      </pic:spPr>
                    </pic:pic>
                  </a:graphicData>
                </a:graphic>
              </wp:inline>
            </w:drawing>
          </w:r>
        </w:p>
      </w:tc>
      <w:tc>
        <w:tcPr>
          <w:tcW w:w="7684" w:type="dxa"/>
          <w:vAlign w:val="center"/>
        </w:tcPr>
        <w:p w14:paraId="5A452DD0" w14:textId="77777777" w:rsidR="00B435A8" w:rsidRDefault="00B435A8" w:rsidP="00B435A8">
          <w:pPr>
            <w:pStyle w:val="NoSpacing"/>
            <w:ind w:firstLine="772"/>
            <w:rPr>
              <w:rFonts w:ascii="Arial" w:hAnsi="Arial" w:cs="Arial"/>
              <w:sz w:val="28"/>
              <w:szCs w:val="28"/>
            </w:rPr>
          </w:pPr>
          <w:r w:rsidRPr="00AF27F5">
            <w:rPr>
              <w:rFonts w:ascii="Arial" w:hAnsi="Arial" w:cs="Arial"/>
              <w:sz w:val="28"/>
              <w:szCs w:val="28"/>
            </w:rPr>
            <w:t>Product Information Sheet</w:t>
          </w:r>
        </w:p>
        <w:p w14:paraId="2AFB6FF0" w14:textId="6BC6AC75" w:rsidR="00B435A8" w:rsidRPr="00BB4F11" w:rsidRDefault="00B435A8" w:rsidP="00B435A8">
          <w:pPr>
            <w:pStyle w:val="NoSpacing"/>
            <w:rPr>
              <w:rFonts w:ascii="Arial" w:hAnsi="Arial" w:cs="Arial"/>
              <w:sz w:val="28"/>
              <w:szCs w:val="28"/>
            </w:rPr>
          </w:pPr>
          <w:r>
            <w:rPr>
              <w:rFonts w:ascii="Arial" w:hAnsi="Arial" w:cs="Arial"/>
              <w:b/>
              <w:sz w:val="20"/>
              <w:szCs w:val="20"/>
            </w:rPr>
            <w:t xml:space="preserve">       </w:t>
          </w:r>
          <w:r w:rsidRPr="00745207">
            <w:rPr>
              <w:rFonts w:ascii="Arial" w:hAnsi="Arial" w:cs="Arial"/>
              <w:b/>
              <w:sz w:val="20"/>
              <w:szCs w:val="20"/>
            </w:rPr>
            <w:t>Product Name:</w:t>
          </w:r>
          <w:r>
            <w:rPr>
              <w:rFonts w:ascii="Arial" w:hAnsi="Arial" w:cs="Arial"/>
              <w:b/>
              <w:sz w:val="20"/>
              <w:szCs w:val="20"/>
            </w:rPr>
            <w:t xml:space="preserve"> </w:t>
          </w:r>
          <w:r>
            <w:rPr>
              <w:rFonts w:ascii="Arial" w:hAnsi="Arial" w:cs="Arial"/>
              <w:sz w:val="20"/>
            </w:rPr>
            <w:t xml:space="preserve">6X </w:t>
          </w:r>
          <w:proofErr w:type="spellStart"/>
          <w:r>
            <w:rPr>
              <w:rFonts w:ascii="Arial" w:hAnsi="Arial" w:cs="Arial"/>
              <w:sz w:val="20"/>
            </w:rPr>
            <w:t>MeanGreen</w:t>
          </w:r>
          <w:proofErr w:type="spellEnd"/>
          <w:r>
            <w:rPr>
              <w:rFonts w:ascii="Arial" w:hAnsi="Arial" w:cs="Arial"/>
              <w:sz w:val="20"/>
            </w:rPr>
            <w:t xml:space="preserve"> Loading Dye</w:t>
          </w:r>
          <w:r>
            <w:rPr>
              <w:rFonts w:ascii="Arial" w:hAnsi="Arial" w:cs="Arial"/>
              <w:sz w:val="20"/>
              <w:szCs w:val="20"/>
            </w:rPr>
            <w:t xml:space="preserve"> *</w:t>
          </w:r>
        </w:p>
      </w:tc>
    </w:tr>
  </w:tbl>
  <w:p w14:paraId="1B22E499" w14:textId="77777777" w:rsidR="00B91EF9" w:rsidRPr="00B435A8" w:rsidRDefault="00B91EF9" w:rsidP="00B43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448"/>
      <w:gridCol w:w="5400"/>
      <w:gridCol w:w="2880"/>
    </w:tblGrid>
    <w:tr w:rsidR="00B91EF9" w:rsidRPr="009A76B2" w14:paraId="30999DB1" w14:textId="77777777" w:rsidTr="00321299">
      <w:tc>
        <w:tcPr>
          <w:tcW w:w="2448" w:type="dxa"/>
          <w:vMerge w:val="restart"/>
          <w:vAlign w:val="center"/>
        </w:tcPr>
        <w:p w14:paraId="091B3640" w14:textId="77777777" w:rsidR="00B91EF9" w:rsidRPr="009A76B2" w:rsidRDefault="00B91EF9" w:rsidP="00321299">
          <w:pPr>
            <w:shd w:val="clear" w:color="auto" w:fill="FFFFFF"/>
            <w:spacing w:before="100" w:after="100" w:line="240" w:lineRule="auto"/>
            <w:ind w:right="72"/>
            <w:jc w:val="center"/>
            <w:rPr>
              <w:rFonts w:ascii="Arial" w:eastAsia="Times New Roman" w:hAnsi="Arial" w:cs="Arial"/>
              <w:color w:val="FF8E00"/>
              <w:sz w:val="24"/>
              <w:szCs w:val="24"/>
            </w:rPr>
          </w:pPr>
          <w:r w:rsidRPr="009A76B2">
            <w:rPr>
              <w:rFonts w:ascii="Arial" w:hAnsi="Arial" w:cs="Arial"/>
              <w:b/>
              <w:noProof/>
              <w:sz w:val="24"/>
              <w:szCs w:val="24"/>
            </w:rPr>
            <w:drawing>
              <wp:inline distT="0" distB="0" distL="0" distR="0" wp14:anchorId="3C3D94EE" wp14:editId="2187308D">
                <wp:extent cx="1366448" cy="384836"/>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806" cy="384937"/>
                        </a:xfrm>
                        <a:prstGeom prst="rect">
                          <a:avLst/>
                        </a:prstGeom>
                        <a:noFill/>
                        <a:ln>
                          <a:noFill/>
                        </a:ln>
                      </pic:spPr>
                    </pic:pic>
                  </a:graphicData>
                </a:graphic>
              </wp:inline>
            </w:drawing>
          </w:r>
        </w:p>
      </w:tc>
      <w:tc>
        <w:tcPr>
          <w:tcW w:w="5400" w:type="dxa"/>
          <w:vAlign w:val="center"/>
        </w:tcPr>
        <w:p w14:paraId="73FCF084" w14:textId="77777777" w:rsidR="00B91EF9" w:rsidRPr="009A76B2" w:rsidRDefault="00B91EF9" w:rsidP="00321299">
          <w:pPr>
            <w:pStyle w:val="Header"/>
            <w:tabs>
              <w:tab w:val="clear" w:pos="9360"/>
              <w:tab w:val="right" w:pos="10350"/>
            </w:tabs>
            <w:jc w:val="center"/>
            <w:rPr>
              <w:rFonts w:ascii="Arial" w:hAnsi="Arial" w:cs="Arial"/>
              <w:b/>
              <w:sz w:val="24"/>
              <w:szCs w:val="24"/>
            </w:rPr>
          </w:pPr>
          <w:r w:rsidRPr="009A76B2">
            <w:rPr>
              <w:rFonts w:ascii="Arial" w:hAnsi="Arial" w:cs="Arial"/>
              <w:b/>
              <w:sz w:val="24"/>
              <w:szCs w:val="24"/>
            </w:rPr>
            <w:t>Product Information Sheet</w:t>
          </w:r>
        </w:p>
      </w:tc>
      <w:tc>
        <w:tcPr>
          <w:tcW w:w="2880" w:type="dxa"/>
        </w:tcPr>
        <w:p w14:paraId="49A3EBCB" w14:textId="4FD7FCB4" w:rsidR="00B91EF9" w:rsidRPr="009A76B2" w:rsidRDefault="00B91EF9" w:rsidP="00321299">
          <w:pPr>
            <w:pStyle w:val="Header"/>
            <w:tabs>
              <w:tab w:val="clear" w:pos="9360"/>
              <w:tab w:val="right" w:pos="10350"/>
            </w:tabs>
            <w:rPr>
              <w:rFonts w:ascii="Arial" w:hAnsi="Arial" w:cs="Arial"/>
              <w:sz w:val="24"/>
              <w:szCs w:val="24"/>
            </w:rPr>
          </w:pPr>
          <w:r w:rsidRPr="009A76B2">
            <w:rPr>
              <w:rFonts w:ascii="Arial" w:hAnsi="Arial" w:cs="Arial"/>
              <w:sz w:val="24"/>
              <w:szCs w:val="24"/>
            </w:rPr>
            <w:t xml:space="preserve">Page </w:t>
          </w:r>
          <w:r w:rsidRPr="009A76B2">
            <w:rPr>
              <w:rFonts w:ascii="Arial" w:hAnsi="Arial" w:cs="Arial"/>
              <w:sz w:val="24"/>
              <w:szCs w:val="24"/>
            </w:rPr>
            <w:fldChar w:fldCharType="begin"/>
          </w:r>
          <w:r w:rsidRPr="009A76B2">
            <w:rPr>
              <w:rFonts w:ascii="Arial" w:hAnsi="Arial" w:cs="Arial"/>
              <w:sz w:val="24"/>
              <w:szCs w:val="24"/>
            </w:rPr>
            <w:instrText xml:space="preserve"> PAGE </w:instrText>
          </w:r>
          <w:r w:rsidRPr="009A76B2">
            <w:rPr>
              <w:rFonts w:ascii="Arial" w:hAnsi="Arial" w:cs="Arial"/>
              <w:sz w:val="24"/>
              <w:szCs w:val="24"/>
            </w:rPr>
            <w:fldChar w:fldCharType="separate"/>
          </w:r>
          <w:r w:rsidR="00C63CE6">
            <w:rPr>
              <w:rFonts w:ascii="Arial" w:hAnsi="Arial" w:cs="Arial"/>
              <w:noProof/>
              <w:sz w:val="24"/>
              <w:szCs w:val="24"/>
            </w:rPr>
            <w:t>1</w:t>
          </w:r>
          <w:r w:rsidRPr="009A76B2">
            <w:rPr>
              <w:rFonts w:ascii="Arial" w:hAnsi="Arial" w:cs="Arial"/>
              <w:sz w:val="24"/>
              <w:szCs w:val="24"/>
            </w:rPr>
            <w:fldChar w:fldCharType="end"/>
          </w:r>
          <w:r w:rsidRPr="009A76B2">
            <w:rPr>
              <w:rFonts w:ascii="Arial" w:hAnsi="Arial" w:cs="Arial"/>
              <w:sz w:val="24"/>
              <w:szCs w:val="24"/>
            </w:rPr>
            <w:t xml:space="preserve"> of </w:t>
          </w:r>
          <w:r w:rsidRPr="009A76B2">
            <w:rPr>
              <w:rFonts w:ascii="Arial" w:hAnsi="Arial" w:cs="Arial"/>
              <w:sz w:val="24"/>
              <w:szCs w:val="24"/>
            </w:rPr>
            <w:fldChar w:fldCharType="begin"/>
          </w:r>
          <w:r w:rsidRPr="009A76B2">
            <w:rPr>
              <w:rFonts w:ascii="Arial" w:hAnsi="Arial" w:cs="Arial"/>
              <w:sz w:val="24"/>
              <w:szCs w:val="24"/>
            </w:rPr>
            <w:instrText xml:space="preserve"> NUMPAGES </w:instrText>
          </w:r>
          <w:r w:rsidRPr="009A76B2">
            <w:rPr>
              <w:rFonts w:ascii="Arial" w:hAnsi="Arial" w:cs="Arial"/>
              <w:sz w:val="24"/>
              <w:szCs w:val="24"/>
            </w:rPr>
            <w:fldChar w:fldCharType="separate"/>
          </w:r>
          <w:r w:rsidR="00C63CE6">
            <w:rPr>
              <w:rFonts w:ascii="Arial" w:hAnsi="Arial" w:cs="Arial"/>
              <w:noProof/>
              <w:sz w:val="24"/>
              <w:szCs w:val="24"/>
            </w:rPr>
            <w:t>2</w:t>
          </w:r>
          <w:r w:rsidRPr="009A76B2">
            <w:rPr>
              <w:rFonts w:ascii="Arial" w:hAnsi="Arial" w:cs="Arial"/>
              <w:sz w:val="24"/>
              <w:szCs w:val="24"/>
            </w:rPr>
            <w:fldChar w:fldCharType="end"/>
          </w:r>
        </w:p>
      </w:tc>
    </w:tr>
    <w:tr w:rsidR="00B91EF9" w:rsidRPr="009A76B2" w14:paraId="0F06ECB0" w14:textId="77777777" w:rsidTr="00321299">
      <w:tc>
        <w:tcPr>
          <w:tcW w:w="2448" w:type="dxa"/>
          <w:vMerge/>
        </w:tcPr>
        <w:p w14:paraId="10436C11" w14:textId="77777777" w:rsidR="00B91EF9" w:rsidRPr="009A76B2" w:rsidRDefault="00B91EF9" w:rsidP="00321299">
          <w:pPr>
            <w:pStyle w:val="Header"/>
            <w:tabs>
              <w:tab w:val="clear" w:pos="9360"/>
              <w:tab w:val="right" w:pos="10350"/>
            </w:tabs>
            <w:rPr>
              <w:rFonts w:ascii="Arial" w:hAnsi="Arial" w:cs="Arial"/>
              <w:sz w:val="24"/>
              <w:szCs w:val="24"/>
            </w:rPr>
          </w:pPr>
        </w:p>
      </w:tc>
      <w:tc>
        <w:tcPr>
          <w:tcW w:w="5400" w:type="dxa"/>
          <w:vAlign w:val="center"/>
        </w:tcPr>
        <w:p w14:paraId="51F7CFE0" w14:textId="7F49B6F9" w:rsidR="00B91EF9" w:rsidRPr="009A76B2" w:rsidRDefault="00B91EF9" w:rsidP="00321299">
          <w:pPr>
            <w:pStyle w:val="Header"/>
            <w:tabs>
              <w:tab w:val="clear" w:pos="9360"/>
              <w:tab w:val="right" w:pos="10350"/>
            </w:tabs>
            <w:jc w:val="center"/>
            <w:rPr>
              <w:rFonts w:ascii="Arial" w:hAnsi="Arial" w:cs="Arial"/>
              <w:b/>
              <w:sz w:val="24"/>
              <w:szCs w:val="24"/>
            </w:rPr>
          </w:pPr>
          <w:r>
            <w:rPr>
              <w:rFonts w:ascii="Arial" w:hAnsi="Arial" w:cs="Arial"/>
              <w:b/>
              <w:sz w:val="24"/>
              <w:szCs w:val="24"/>
            </w:rPr>
            <w:t xml:space="preserve">PIS-041 </w:t>
          </w:r>
          <w:r w:rsidRPr="00103AB6">
            <w:rPr>
              <w:rFonts w:ascii="Arial" w:hAnsi="Arial" w:cs="Arial"/>
              <w:b/>
              <w:sz w:val="24"/>
              <w:szCs w:val="24"/>
            </w:rPr>
            <w:t>LD-MG-Volume</w:t>
          </w:r>
        </w:p>
      </w:tc>
      <w:tc>
        <w:tcPr>
          <w:tcW w:w="2880" w:type="dxa"/>
        </w:tcPr>
        <w:p w14:paraId="2AEEA136" w14:textId="1C2EC843" w:rsidR="00B91EF9" w:rsidRPr="009A76B2" w:rsidRDefault="00B91EF9" w:rsidP="00321299">
          <w:pPr>
            <w:pStyle w:val="Header"/>
            <w:tabs>
              <w:tab w:val="clear" w:pos="9360"/>
              <w:tab w:val="right" w:pos="10350"/>
            </w:tabs>
            <w:rPr>
              <w:rFonts w:ascii="Arial" w:hAnsi="Arial" w:cs="Arial"/>
              <w:sz w:val="24"/>
              <w:szCs w:val="24"/>
            </w:rPr>
          </w:pPr>
          <w:r>
            <w:rPr>
              <w:rFonts w:ascii="Arial" w:hAnsi="Arial" w:cs="Arial"/>
              <w:sz w:val="24"/>
              <w:szCs w:val="24"/>
            </w:rPr>
            <w:t>Version: 00</w:t>
          </w:r>
          <w:r w:rsidR="00B435A8">
            <w:rPr>
              <w:rFonts w:ascii="Arial" w:hAnsi="Arial" w:cs="Arial"/>
              <w:sz w:val="24"/>
              <w:szCs w:val="24"/>
            </w:rPr>
            <w:t>3</w:t>
          </w:r>
        </w:p>
        <w:p w14:paraId="033CF411" w14:textId="36631291" w:rsidR="00B91EF9" w:rsidRDefault="00B91EF9" w:rsidP="00321299">
          <w:pPr>
            <w:pStyle w:val="Header"/>
            <w:tabs>
              <w:tab w:val="clear" w:pos="9360"/>
              <w:tab w:val="right" w:pos="10350"/>
            </w:tabs>
            <w:rPr>
              <w:rFonts w:ascii="Arial" w:hAnsi="Arial" w:cs="Arial"/>
              <w:sz w:val="24"/>
              <w:szCs w:val="24"/>
            </w:rPr>
          </w:pPr>
          <w:r w:rsidRPr="009A76B2">
            <w:rPr>
              <w:rFonts w:ascii="Arial" w:hAnsi="Arial" w:cs="Arial"/>
              <w:sz w:val="24"/>
              <w:szCs w:val="24"/>
            </w:rPr>
            <w:t xml:space="preserve">Effective Date: </w:t>
          </w:r>
          <w:r w:rsidR="00B435A8">
            <w:rPr>
              <w:rFonts w:ascii="Arial" w:hAnsi="Arial" w:cs="Arial"/>
              <w:sz w:val="24"/>
              <w:szCs w:val="24"/>
            </w:rPr>
            <w:t>07/06/20</w:t>
          </w:r>
        </w:p>
        <w:p w14:paraId="481A9239" w14:textId="77777777" w:rsidR="00B04760" w:rsidRDefault="00B04760" w:rsidP="00321299">
          <w:pPr>
            <w:pStyle w:val="Header"/>
            <w:tabs>
              <w:tab w:val="clear" w:pos="9360"/>
              <w:tab w:val="right" w:pos="10350"/>
            </w:tabs>
            <w:rPr>
              <w:rFonts w:ascii="Arial" w:hAnsi="Arial" w:cs="Arial"/>
              <w:sz w:val="24"/>
              <w:szCs w:val="24"/>
            </w:rPr>
          </w:pPr>
          <w:r>
            <w:rPr>
              <w:rFonts w:ascii="Arial" w:hAnsi="Arial" w:cs="Arial"/>
              <w:sz w:val="24"/>
              <w:szCs w:val="24"/>
            </w:rPr>
            <w:t>Author: Beth Lowe</w:t>
          </w:r>
        </w:p>
        <w:p w14:paraId="1FAB707B" w14:textId="77F871AE" w:rsidR="00B04760" w:rsidRPr="009A76B2" w:rsidRDefault="00B04760" w:rsidP="00321299">
          <w:pPr>
            <w:pStyle w:val="Header"/>
            <w:tabs>
              <w:tab w:val="clear" w:pos="9360"/>
              <w:tab w:val="right" w:pos="10350"/>
            </w:tabs>
            <w:rPr>
              <w:rFonts w:ascii="Arial" w:hAnsi="Arial" w:cs="Arial"/>
              <w:sz w:val="24"/>
              <w:szCs w:val="24"/>
            </w:rPr>
          </w:pPr>
          <w:r>
            <w:rPr>
              <w:rFonts w:ascii="Arial" w:hAnsi="Arial" w:cs="Arial"/>
              <w:sz w:val="24"/>
              <w:szCs w:val="24"/>
            </w:rPr>
            <w:t>CO#:</w:t>
          </w:r>
          <w:r w:rsidR="00C63CE6">
            <w:rPr>
              <w:rFonts w:ascii="Arial" w:hAnsi="Arial" w:cs="Arial"/>
              <w:sz w:val="24"/>
              <w:szCs w:val="24"/>
            </w:rPr>
            <w:t xml:space="preserve"> </w:t>
          </w:r>
          <w:r w:rsidR="00B435A8">
            <w:rPr>
              <w:rFonts w:ascii="Arial" w:hAnsi="Arial" w:cs="Arial"/>
              <w:sz w:val="24"/>
              <w:szCs w:val="24"/>
            </w:rPr>
            <w:t>062520</w:t>
          </w:r>
          <w:r w:rsidR="00C63CE6">
            <w:rPr>
              <w:rFonts w:ascii="Arial" w:hAnsi="Arial" w:cs="Arial"/>
              <w:sz w:val="24"/>
              <w:szCs w:val="24"/>
            </w:rPr>
            <w:t>-1</w:t>
          </w:r>
        </w:p>
      </w:tc>
    </w:tr>
  </w:tbl>
  <w:p w14:paraId="17B2D2CA" w14:textId="77777777" w:rsidR="00B91EF9" w:rsidRDefault="00B91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23CB8"/>
    <w:rsid w:val="00046445"/>
    <w:rsid w:val="00103AB6"/>
    <w:rsid w:val="0014588E"/>
    <w:rsid w:val="001B7A7A"/>
    <w:rsid w:val="00201380"/>
    <w:rsid w:val="002410AA"/>
    <w:rsid w:val="00256532"/>
    <w:rsid w:val="00277720"/>
    <w:rsid w:val="002F6281"/>
    <w:rsid w:val="00321299"/>
    <w:rsid w:val="00420BFA"/>
    <w:rsid w:val="004A1B4D"/>
    <w:rsid w:val="004F5E64"/>
    <w:rsid w:val="005077F1"/>
    <w:rsid w:val="00510B2F"/>
    <w:rsid w:val="005836D6"/>
    <w:rsid w:val="006051CF"/>
    <w:rsid w:val="00621C92"/>
    <w:rsid w:val="00644371"/>
    <w:rsid w:val="00660FF1"/>
    <w:rsid w:val="00662632"/>
    <w:rsid w:val="006B47E0"/>
    <w:rsid w:val="006C176B"/>
    <w:rsid w:val="006D6625"/>
    <w:rsid w:val="006F132B"/>
    <w:rsid w:val="00726168"/>
    <w:rsid w:val="007808C5"/>
    <w:rsid w:val="0078729A"/>
    <w:rsid w:val="007D5BD6"/>
    <w:rsid w:val="007F7BAB"/>
    <w:rsid w:val="00847813"/>
    <w:rsid w:val="00867ED2"/>
    <w:rsid w:val="008821AE"/>
    <w:rsid w:val="00891891"/>
    <w:rsid w:val="00891AA1"/>
    <w:rsid w:val="008A0B23"/>
    <w:rsid w:val="008A5AED"/>
    <w:rsid w:val="008E2CF3"/>
    <w:rsid w:val="008F647B"/>
    <w:rsid w:val="00906C48"/>
    <w:rsid w:val="00A07A23"/>
    <w:rsid w:val="00A2795F"/>
    <w:rsid w:val="00A31779"/>
    <w:rsid w:val="00A54391"/>
    <w:rsid w:val="00A65BCC"/>
    <w:rsid w:val="00B04760"/>
    <w:rsid w:val="00B20071"/>
    <w:rsid w:val="00B435A8"/>
    <w:rsid w:val="00B65B0B"/>
    <w:rsid w:val="00B91EF9"/>
    <w:rsid w:val="00B9742A"/>
    <w:rsid w:val="00BB66AB"/>
    <w:rsid w:val="00C55B31"/>
    <w:rsid w:val="00C6263A"/>
    <w:rsid w:val="00C63CE6"/>
    <w:rsid w:val="00C75B78"/>
    <w:rsid w:val="00C87E6F"/>
    <w:rsid w:val="00D12B69"/>
    <w:rsid w:val="00D36137"/>
    <w:rsid w:val="00E5494A"/>
    <w:rsid w:val="00ED4EF0"/>
    <w:rsid w:val="00EF3901"/>
    <w:rsid w:val="00F24D23"/>
    <w:rsid w:val="00F53290"/>
    <w:rsid w:val="00F7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F0AFD"/>
  <w15:docId w15:val="{8F545BB5-7010-434D-AF44-AD1B8739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31"/>
    <w:rPr>
      <w:rFonts w:ascii="Calibri" w:eastAsia="Calibri" w:hAnsi="Calibri" w:cs="Times New Roman"/>
    </w:rPr>
  </w:style>
  <w:style w:type="paragraph" w:styleId="Footer">
    <w:name w:val="footer"/>
    <w:basedOn w:val="Normal"/>
    <w:link w:val="FooterChar"/>
    <w:uiPriority w:val="99"/>
    <w:rsid w:val="00C5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31"/>
    <w:rPr>
      <w:rFonts w:ascii="Calibri" w:eastAsia="Calibri" w:hAnsi="Calibri" w:cs="Times New Roman"/>
    </w:rPr>
  </w:style>
  <w:style w:type="paragraph" w:styleId="ListParagraph">
    <w:name w:val="List Paragraph"/>
    <w:basedOn w:val="Normal"/>
    <w:uiPriority w:val="34"/>
    <w:qFormat/>
    <w:rsid w:val="00C55B31"/>
    <w:pPr>
      <w:ind w:left="720"/>
      <w:contextualSpacing/>
    </w:pPr>
  </w:style>
  <w:style w:type="table" w:styleId="TableGrid">
    <w:name w:val="Table Grid"/>
    <w:basedOn w:val="TableNormal"/>
    <w:uiPriority w:val="59"/>
    <w:rsid w:val="00C55B3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55B31"/>
    <w:rPr>
      <w:color w:val="0563C1" w:themeColor="hyperlink"/>
      <w:u w:val="single"/>
    </w:rPr>
  </w:style>
  <w:style w:type="paragraph" w:styleId="Caption">
    <w:name w:val="caption"/>
    <w:basedOn w:val="Normal"/>
    <w:next w:val="Normal"/>
    <w:uiPriority w:val="35"/>
    <w:unhideWhenUsed/>
    <w:qFormat/>
    <w:rsid w:val="00C55B3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F6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647B"/>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2F6281"/>
    <w:rPr>
      <w:sz w:val="18"/>
      <w:szCs w:val="18"/>
    </w:rPr>
  </w:style>
  <w:style w:type="paragraph" w:styleId="CommentText">
    <w:name w:val="annotation text"/>
    <w:basedOn w:val="Normal"/>
    <w:link w:val="CommentTextChar"/>
    <w:uiPriority w:val="99"/>
    <w:semiHidden/>
    <w:unhideWhenUsed/>
    <w:rsid w:val="002F6281"/>
    <w:pPr>
      <w:spacing w:line="240" w:lineRule="auto"/>
    </w:pPr>
    <w:rPr>
      <w:sz w:val="24"/>
      <w:szCs w:val="24"/>
    </w:rPr>
  </w:style>
  <w:style w:type="character" w:customStyle="1" w:styleId="CommentTextChar">
    <w:name w:val="Comment Text Char"/>
    <w:basedOn w:val="DefaultParagraphFont"/>
    <w:link w:val="CommentText"/>
    <w:uiPriority w:val="99"/>
    <w:semiHidden/>
    <w:rsid w:val="002F628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F6281"/>
    <w:rPr>
      <w:b/>
      <w:bCs/>
      <w:sz w:val="20"/>
      <w:szCs w:val="20"/>
    </w:rPr>
  </w:style>
  <w:style w:type="character" w:customStyle="1" w:styleId="CommentSubjectChar">
    <w:name w:val="Comment Subject Char"/>
    <w:basedOn w:val="CommentTextChar"/>
    <w:link w:val="CommentSubject"/>
    <w:uiPriority w:val="99"/>
    <w:semiHidden/>
    <w:rsid w:val="002F6281"/>
    <w:rPr>
      <w:rFonts w:ascii="Calibri" w:eastAsia="Calibri" w:hAnsi="Calibri" w:cs="Times New Roman"/>
      <w:b/>
      <w:bCs/>
      <w:sz w:val="20"/>
      <w:szCs w:val="20"/>
    </w:rPr>
  </w:style>
  <w:style w:type="paragraph" w:styleId="NoSpacing">
    <w:name w:val="No Spacing"/>
    <w:link w:val="NoSpacingChar"/>
    <w:uiPriority w:val="1"/>
    <w:qFormat/>
    <w:rsid w:val="00B0476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A1B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C170E246F0F448900F2A4D3E432959"/>
        <w:category>
          <w:name w:val="General"/>
          <w:gallery w:val="placeholder"/>
        </w:category>
        <w:types>
          <w:type w:val="bbPlcHdr"/>
        </w:types>
        <w:behaviors>
          <w:behavior w:val="content"/>
        </w:behaviors>
        <w:guid w:val="{D34EDB53-8C53-2D46-9534-B840D77DD774}"/>
      </w:docPartPr>
      <w:docPartBody>
        <w:p w:rsidR="00142FAB" w:rsidRDefault="006A70D9" w:rsidP="006A70D9">
          <w:pPr>
            <w:pStyle w:val="22C170E246F0F448900F2A4D3E432959"/>
          </w:pPr>
          <w:r>
            <w:t>[Type text]</w:t>
          </w:r>
        </w:p>
      </w:docPartBody>
    </w:docPart>
    <w:docPart>
      <w:docPartPr>
        <w:name w:val="3E353AE40E237849B5C762885800E3D7"/>
        <w:category>
          <w:name w:val="General"/>
          <w:gallery w:val="placeholder"/>
        </w:category>
        <w:types>
          <w:type w:val="bbPlcHdr"/>
        </w:types>
        <w:behaviors>
          <w:behavior w:val="content"/>
        </w:behaviors>
        <w:guid w:val="{24066F4C-857A-9346-9002-BBE3F8DF9C28}"/>
      </w:docPartPr>
      <w:docPartBody>
        <w:p w:rsidR="00142FAB" w:rsidRDefault="006A70D9" w:rsidP="006A70D9">
          <w:pPr>
            <w:pStyle w:val="3E353AE40E237849B5C762885800E3D7"/>
          </w:pPr>
          <w:r>
            <w:t>[Type text]</w:t>
          </w:r>
        </w:p>
      </w:docPartBody>
    </w:docPart>
    <w:docPart>
      <w:docPartPr>
        <w:name w:val="771331349DF4E4448150AC8DB1D7D794"/>
        <w:category>
          <w:name w:val="General"/>
          <w:gallery w:val="placeholder"/>
        </w:category>
        <w:types>
          <w:type w:val="bbPlcHdr"/>
        </w:types>
        <w:behaviors>
          <w:behavior w:val="content"/>
        </w:behaviors>
        <w:guid w:val="{6AD38227-002D-8940-8F9C-E771862A9D24}"/>
      </w:docPartPr>
      <w:docPartBody>
        <w:p w:rsidR="00142FAB" w:rsidRDefault="006A70D9" w:rsidP="006A70D9">
          <w:pPr>
            <w:pStyle w:val="771331349DF4E4448150AC8DB1D7D7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D9"/>
    <w:rsid w:val="00142FAB"/>
    <w:rsid w:val="001F41AA"/>
    <w:rsid w:val="0030532F"/>
    <w:rsid w:val="004C1687"/>
    <w:rsid w:val="006A70D9"/>
    <w:rsid w:val="006B0D99"/>
    <w:rsid w:val="00870E42"/>
    <w:rsid w:val="00A63827"/>
    <w:rsid w:val="00B25677"/>
    <w:rsid w:val="00D5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170E246F0F448900F2A4D3E432959">
    <w:name w:val="22C170E246F0F448900F2A4D3E432959"/>
    <w:rsid w:val="006A70D9"/>
  </w:style>
  <w:style w:type="paragraph" w:customStyle="1" w:styleId="3E353AE40E237849B5C762885800E3D7">
    <w:name w:val="3E353AE40E237849B5C762885800E3D7"/>
    <w:rsid w:val="006A70D9"/>
  </w:style>
  <w:style w:type="paragraph" w:customStyle="1" w:styleId="771331349DF4E4448150AC8DB1D7D794">
    <w:name w:val="771331349DF4E4448150AC8DB1D7D794"/>
    <w:rsid w:val="006A70D9"/>
  </w:style>
  <w:style w:type="paragraph" w:customStyle="1" w:styleId="CB87715F594EE94FBF3FB465E18DD714">
    <w:name w:val="CB87715F594EE94FBF3FB465E18DD714"/>
    <w:rsid w:val="006A70D9"/>
  </w:style>
  <w:style w:type="paragraph" w:customStyle="1" w:styleId="B7735A8FF2D2B543B8258EDE087282B5">
    <w:name w:val="B7735A8FF2D2B543B8258EDE087282B5"/>
    <w:rsid w:val="006A70D9"/>
  </w:style>
  <w:style w:type="paragraph" w:customStyle="1" w:styleId="A58131535738F8418B13F3D6853B0F95">
    <w:name w:val="A58131535738F8418B13F3D6853B0F95"/>
    <w:rsid w:val="006A7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Nader</dc:creator>
  <cp:keywords/>
  <dc:description/>
  <cp:lastModifiedBy>Sales Team</cp:lastModifiedBy>
  <cp:revision>5</cp:revision>
  <cp:lastPrinted>2014-11-12T19:13:00Z</cp:lastPrinted>
  <dcterms:created xsi:type="dcterms:W3CDTF">2020-06-26T00:58:00Z</dcterms:created>
  <dcterms:modified xsi:type="dcterms:W3CDTF">2020-06-30T15:48:00Z</dcterms:modified>
</cp:coreProperties>
</file>